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2236" w14:textId="71FFDC5C" w:rsidR="00C01811" w:rsidRDefault="00C01811" w:rsidP="00002BCD">
      <w:pPr>
        <w:tabs>
          <w:tab w:val="left" w:pos="20"/>
        </w:tabs>
        <w:spacing w:line="280" w:lineRule="auto"/>
      </w:pPr>
    </w:p>
    <w:p w14:paraId="752E7919" w14:textId="77777777" w:rsidR="00897216" w:rsidRDefault="00897216" w:rsidP="00897216">
      <w:pPr>
        <w:numPr>
          <w:ilvl w:val="1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 w:rsidRPr="001E5F68">
        <w:rPr>
          <w:rFonts w:asciiTheme="minorHAnsi" w:hAnsiTheme="minorHAnsi" w:cstheme="minorHAnsi"/>
          <w:sz w:val="20"/>
          <w:szCs w:val="20"/>
        </w:rPr>
        <w:t>Enthalpy Plate Heat Exchanger</w:t>
      </w:r>
    </w:p>
    <w:p w14:paraId="079B84C5" w14:textId="3F462B8D" w:rsidR="007572D2" w:rsidRDefault="00897216" w:rsidP="007572D2">
      <w:pPr>
        <w:numPr>
          <w:ilvl w:val="2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General </w:t>
      </w:r>
      <w:r w:rsidR="00F4646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pecifications</w:t>
      </w:r>
    </w:p>
    <w:p w14:paraId="03D4EC38" w14:textId="3475005B" w:rsidR="00897216" w:rsidRPr="002F16F0" w:rsidRDefault="00897216" w:rsidP="002F16F0">
      <w:pPr>
        <w:pStyle w:val="ListParagraph"/>
        <w:numPr>
          <w:ilvl w:val="3"/>
          <w:numId w:val="3"/>
        </w:numPr>
        <w:tabs>
          <w:tab w:val="left" w:pos="20"/>
        </w:tabs>
        <w:spacing w:line="280" w:lineRule="auto"/>
        <w:rPr>
          <w:rFonts w:asciiTheme="minorHAnsi" w:hAnsiTheme="minorHAnsi" w:cstheme="minorHAnsi"/>
          <w:sz w:val="20"/>
          <w:szCs w:val="20"/>
        </w:rPr>
      </w:pPr>
      <w:r w:rsidRPr="002F16F0">
        <w:rPr>
          <w:rFonts w:ascii="Calibri" w:eastAsia="Calibri" w:hAnsi="Calibri" w:cs="Calibri"/>
          <w:sz w:val="20"/>
        </w:rPr>
        <w:t xml:space="preserve">Furnish and install the IPE5 enthalpy plate energy exchanger, to be manufactured by </w:t>
      </w:r>
      <w:r w:rsidR="00D063AB" w:rsidRPr="002F16F0">
        <w:rPr>
          <w:rFonts w:ascii="Calibri" w:eastAsia="Calibri" w:hAnsi="Calibri" w:cs="Calibri"/>
          <w:sz w:val="20"/>
        </w:rPr>
        <w:t>InnergyTech</w:t>
      </w:r>
      <w:r w:rsidRPr="002F16F0">
        <w:rPr>
          <w:rFonts w:ascii="Calibri" w:eastAsia="Calibri" w:hAnsi="Calibri" w:cs="Calibri"/>
          <w:sz w:val="20"/>
        </w:rPr>
        <w:t xml:space="preserve"> </w:t>
      </w:r>
      <w:r w:rsidR="00D063AB" w:rsidRPr="002F16F0">
        <w:rPr>
          <w:rFonts w:ascii="Calibri" w:eastAsia="Calibri" w:hAnsi="Calibri" w:cs="Calibri"/>
          <w:sz w:val="20"/>
        </w:rPr>
        <w:t>I</w:t>
      </w:r>
      <w:r w:rsidRPr="002F16F0">
        <w:rPr>
          <w:rFonts w:ascii="Calibri" w:eastAsia="Calibri" w:hAnsi="Calibri" w:cs="Calibri"/>
          <w:sz w:val="20"/>
        </w:rPr>
        <w:t>nc.</w:t>
      </w:r>
    </w:p>
    <w:p w14:paraId="1A76D818" w14:textId="44BDD95E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2F16F0">
        <w:rPr>
          <w:rFonts w:ascii="Calibri" w:eastAsia="Calibri" w:hAnsi="Calibri" w:cs="Calibri"/>
          <w:sz w:val="20"/>
        </w:rPr>
        <w:t xml:space="preserve">The enthalpy plate energy exchanger shall transfer both sensible and latent energies between outgoing and incoming air streams in a </w:t>
      </w:r>
      <w:r w:rsidR="00786E7D" w:rsidRPr="002F16F0">
        <w:rPr>
          <w:rFonts w:ascii="Calibri" w:eastAsia="Calibri" w:hAnsi="Calibri" w:cs="Calibri"/>
          <w:sz w:val="20"/>
        </w:rPr>
        <w:t>crossflow</w:t>
      </w:r>
      <w:r w:rsidRPr="002F16F0">
        <w:rPr>
          <w:rFonts w:ascii="Calibri" w:eastAsia="Calibri" w:hAnsi="Calibri" w:cs="Calibri"/>
          <w:sz w:val="20"/>
        </w:rPr>
        <w:t xml:space="preserve"> arrangement.</w:t>
      </w:r>
    </w:p>
    <w:p w14:paraId="5C4CC997" w14:textId="77777777" w:rsidR="00897216" w:rsidRPr="002F16F0" w:rsidRDefault="00897216" w:rsidP="002F16F0">
      <w:pPr>
        <w:pStyle w:val="ListParagraph"/>
        <w:numPr>
          <w:ilvl w:val="3"/>
          <w:numId w:val="3"/>
        </w:numPr>
        <w:tabs>
          <w:tab w:val="left" w:pos="20"/>
        </w:tabs>
        <w:spacing w:line="280" w:lineRule="auto"/>
        <w:rPr>
          <w:rFonts w:ascii="Calibri" w:eastAsia="Calibri" w:hAnsi="Calibri" w:cs="Calibri"/>
          <w:sz w:val="20"/>
        </w:rPr>
      </w:pPr>
      <w:r w:rsidRPr="002F16F0">
        <w:rPr>
          <w:rFonts w:ascii="Calibri" w:eastAsia="Calibri" w:hAnsi="Calibri" w:cs="Calibri"/>
          <w:sz w:val="20"/>
        </w:rPr>
        <w:t>The enthalpy plate exchanger must be manufactured in North America.</w:t>
      </w:r>
    </w:p>
    <w:p w14:paraId="08DE7A87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2F16F0">
        <w:rPr>
          <w:rFonts w:ascii="Calibri" w:eastAsia="Calibri" w:hAnsi="Calibri" w:cs="Calibri"/>
          <w:sz w:val="20"/>
        </w:rPr>
        <w:t>The enthalpy plate exchanger manufacturer must have at least ten (10) years of experience in the manufacturing of energy recovery components.</w:t>
      </w:r>
    </w:p>
    <w:p w14:paraId="5A0F4A42" w14:textId="5520A0AB" w:rsidR="00897216" w:rsidRPr="00245598" w:rsidRDefault="00897216" w:rsidP="00897216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sz w:val="20"/>
        </w:rPr>
      </w:pPr>
      <w:r w:rsidRPr="00245598">
        <w:rPr>
          <w:rFonts w:ascii="Calibri" w:eastAsia="Calibri" w:hAnsi="Calibri" w:cs="Calibri"/>
          <w:sz w:val="20"/>
        </w:rPr>
        <w:t xml:space="preserve">Product </w:t>
      </w:r>
      <w:r w:rsidR="00A94B30">
        <w:rPr>
          <w:rFonts w:ascii="Calibri" w:eastAsia="Calibri" w:hAnsi="Calibri" w:cs="Calibri"/>
          <w:sz w:val="20"/>
        </w:rPr>
        <w:t>S</w:t>
      </w:r>
      <w:r w:rsidRPr="00245598">
        <w:rPr>
          <w:rFonts w:ascii="Calibri" w:eastAsia="Calibri" w:hAnsi="Calibri" w:cs="Calibri"/>
          <w:sz w:val="20"/>
        </w:rPr>
        <w:t>pecifications</w:t>
      </w:r>
    </w:p>
    <w:p w14:paraId="17A0AF2E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2F16F0">
        <w:rPr>
          <w:rFonts w:ascii="Calibri" w:eastAsia="Calibri" w:hAnsi="Calibri" w:cs="Calibri"/>
          <w:sz w:val="20"/>
        </w:rPr>
        <w:t>The enthalpy plate exchanger media shall be impregnated with InnergyTech RC135 polymeric desiccant.</w:t>
      </w:r>
    </w:p>
    <w:p w14:paraId="0A6D2C17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2F16F0">
        <w:rPr>
          <w:rFonts w:ascii="Calibri" w:eastAsia="Calibri" w:hAnsi="Calibri" w:cs="Calibri"/>
          <w:sz w:val="20"/>
        </w:rPr>
        <w:t>The hydroscopic polymer shall exchange water by direct vapor transfer using molecular transport without the need of condensation.</w:t>
      </w:r>
    </w:p>
    <w:p w14:paraId="1941208F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plate exchanger shall be constructed of alternate layers of corrugated open mesh aluminum material and polymeric desiccant impregnated media.</w:t>
      </w:r>
    </w:p>
    <w:p w14:paraId="728ADC3F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enthalpy plate exchanger shall have a unique rectangular flute design to provide very low pressure drop values and optimal energy transfer. Triangular flute openings are unacceptable.</w:t>
      </w:r>
    </w:p>
    <w:p w14:paraId="543055F8" w14:textId="12921FB9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The enthalpy plate exchanger shall be assembled into a strong, self-supporting frame made of aluminum corner extrusions and </w:t>
      </w:r>
      <w:r w:rsidR="00786E7D" w:rsidRPr="002F16F0">
        <w:rPr>
          <w:rFonts w:ascii="Calibri" w:hAnsi="Calibri" w:cs="Calibri"/>
          <w:bCs/>
          <w:color w:val="040505"/>
          <w:sz w:val="20"/>
          <w:szCs w:val="20"/>
        </w:rPr>
        <w:t>16-gauge</w:t>
      </w: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 aluminum end plates.</w:t>
      </w:r>
    </w:p>
    <w:p w14:paraId="5D5EF950" w14:textId="3F597E44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The corners of </w:t>
      </w:r>
      <w:r w:rsidR="00752D37" w:rsidRPr="002F16F0">
        <w:rPr>
          <w:rFonts w:ascii="Calibri" w:hAnsi="Calibri" w:cs="Calibri"/>
          <w:bCs/>
          <w:color w:val="040505"/>
          <w:sz w:val="20"/>
          <w:szCs w:val="20"/>
        </w:rPr>
        <w:t>the enthalpy</w:t>
      </w: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 plate exchanger shall be sealed with </w:t>
      </w:r>
      <w:r w:rsidR="00786E7D" w:rsidRPr="002F16F0">
        <w:rPr>
          <w:rFonts w:ascii="Calibri" w:hAnsi="Calibri" w:cs="Calibri"/>
          <w:bCs/>
          <w:color w:val="040505"/>
          <w:sz w:val="20"/>
          <w:szCs w:val="20"/>
        </w:rPr>
        <w:t>2 components</w:t>
      </w: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 casting resin. The exchanger shall be silicone free.</w:t>
      </w:r>
    </w:p>
    <w:p w14:paraId="1F8F5352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aluminum corner extrusions shall be hollow to accept mounting screws and shall provide a 45° corner support angle.</w:t>
      </w:r>
    </w:p>
    <w:p w14:paraId="587C41C9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The enthalpy plate exchanger shall operate at temperatures between -40 °F and 140 °F (-40 °C and 60 °C). </w:t>
      </w:r>
    </w:p>
    <w:p w14:paraId="31F4A36C" w14:textId="77777777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The enthalpy plate exchanger shall withstand, without more than 10 % increase of pressure drop, pressure differentials of at least 5" </w:t>
      </w:r>
      <w:proofErr w:type="spellStart"/>
      <w:r w:rsidRPr="002F16F0">
        <w:rPr>
          <w:rFonts w:ascii="Calibri" w:hAnsi="Calibri" w:cs="Calibri"/>
          <w:bCs/>
          <w:color w:val="040505"/>
          <w:sz w:val="20"/>
          <w:szCs w:val="20"/>
        </w:rPr>
        <w:t>w.g</w:t>
      </w:r>
      <w:proofErr w:type="spellEnd"/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. It shall withstand pressure differential of 10" </w:t>
      </w:r>
      <w:proofErr w:type="spellStart"/>
      <w:r w:rsidRPr="002F16F0">
        <w:rPr>
          <w:rFonts w:ascii="Calibri" w:hAnsi="Calibri" w:cs="Calibri"/>
          <w:bCs/>
          <w:color w:val="040505"/>
          <w:sz w:val="20"/>
          <w:szCs w:val="20"/>
        </w:rPr>
        <w:t>w.g</w:t>
      </w:r>
      <w:proofErr w:type="spellEnd"/>
      <w:r w:rsidRPr="002F16F0">
        <w:rPr>
          <w:rFonts w:ascii="Calibri" w:hAnsi="Calibri" w:cs="Calibri"/>
          <w:bCs/>
          <w:color w:val="040505"/>
          <w:sz w:val="20"/>
          <w:szCs w:val="20"/>
        </w:rPr>
        <w:t>. without permanent deformation.</w:t>
      </w:r>
    </w:p>
    <w:p w14:paraId="346E80D2" w14:textId="7C7B9394" w:rsidR="00897216" w:rsidRDefault="00897216" w:rsidP="00897216">
      <w:pPr>
        <w:pStyle w:val="ListParagraph"/>
        <w:numPr>
          <w:ilvl w:val="2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 xml:space="preserve">Quality </w:t>
      </w:r>
      <w:r w:rsidR="00A94B30">
        <w:rPr>
          <w:rFonts w:ascii="Calibri" w:hAnsi="Calibri" w:cs="Calibri"/>
          <w:bCs/>
          <w:color w:val="040505"/>
          <w:sz w:val="20"/>
          <w:szCs w:val="20"/>
        </w:rPr>
        <w:t>A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ssurance </w:t>
      </w:r>
      <w:r w:rsidR="00A94B30">
        <w:rPr>
          <w:rFonts w:ascii="Calibri" w:hAnsi="Calibri" w:cs="Calibri"/>
          <w:bCs/>
          <w:color w:val="040505"/>
          <w:sz w:val="20"/>
          <w:szCs w:val="20"/>
        </w:rPr>
        <w:t>S</w:t>
      </w:r>
      <w:r>
        <w:rPr>
          <w:rFonts w:ascii="Calibri" w:hAnsi="Calibri" w:cs="Calibri"/>
          <w:bCs/>
          <w:color w:val="040505"/>
          <w:sz w:val="20"/>
          <w:szCs w:val="20"/>
        </w:rPr>
        <w:t>pecifications</w:t>
      </w:r>
    </w:p>
    <w:p w14:paraId="0E50BD9A" w14:textId="3FDC5385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bookmarkStart w:id="0" w:name="_Hlk157776489"/>
      <w:r w:rsidRPr="002F16F0">
        <w:rPr>
          <w:rFonts w:ascii="Calibri" w:hAnsi="Calibri" w:cs="Calibri"/>
          <w:bCs/>
          <w:color w:val="040505"/>
          <w:sz w:val="20"/>
          <w:szCs w:val="20"/>
        </w:rPr>
        <w:t>The manufacturer’s quality procedures shall be ISO 9001-2008 certified.</w:t>
      </w:r>
    </w:p>
    <w:bookmarkEnd w:id="0"/>
    <w:p w14:paraId="4A867118" w14:textId="027CEA4A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The enthalpy plate exchanger shall bear the AHRI 1060 Certified Product Seal. Sensible, </w:t>
      </w:r>
      <w:proofErr w:type="gramStart"/>
      <w:r w:rsidRPr="002F16F0">
        <w:rPr>
          <w:rFonts w:ascii="Calibri" w:hAnsi="Calibri" w:cs="Calibri"/>
          <w:bCs/>
          <w:color w:val="040505"/>
          <w:sz w:val="20"/>
          <w:szCs w:val="20"/>
        </w:rPr>
        <w:t>latent</w:t>
      </w:r>
      <w:proofErr w:type="gramEnd"/>
      <w:r w:rsidRPr="002F16F0">
        <w:rPr>
          <w:rFonts w:ascii="Calibri" w:hAnsi="Calibri" w:cs="Calibri"/>
          <w:bCs/>
          <w:color w:val="040505"/>
          <w:sz w:val="20"/>
          <w:szCs w:val="20"/>
        </w:rPr>
        <w:t xml:space="preserve"> and total effectiveness along with pressure drop, EATR and OACF rating shall be clearly documented with performance tests conducted in accordance with ASHRAE Standard 84-91 and per the official AHRI laboratory. Exchangers that do not bear the AHRI 1060 certified seal shall be unacceptable.</w:t>
      </w:r>
    </w:p>
    <w:p w14:paraId="22AD8FBF" w14:textId="0D34CB9D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enthalpy plate exchanger shall be a UL Recognized to UL 1995 requirements. Under the UL 1995 certification, a Flame Spread Index (FSI) &lt; 5 and Smoke Developed Index (SDI) &lt; 15 were determined to UL 723 testing requirements.</w:t>
      </w:r>
    </w:p>
    <w:p w14:paraId="777046AF" w14:textId="3D73F864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membrane shall not promote the growth of mold or bacteria and must have successfully passed AATCC30-2013 with no growth of Aspergillus Niger observed after 14 days.</w:t>
      </w:r>
    </w:p>
    <w:p w14:paraId="29549F89" w14:textId="250CE132" w:rsidR="00897216" w:rsidRPr="002F16F0" w:rsidRDefault="00897216" w:rsidP="002F16F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2F16F0">
        <w:rPr>
          <w:rFonts w:ascii="Calibri" w:hAnsi="Calibri" w:cs="Calibri"/>
          <w:bCs/>
          <w:color w:val="040505"/>
          <w:sz w:val="20"/>
          <w:szCs w:val="20"/>
        </w:rPr>
        <w:t>The exchanger must have successfully passed 1920 frosting/defrosting cycles with less than 10% change of its performance.</w:t>
      </w:r>
    </w:p>
    <w:sectPr w:rsidR="00897216" w:rsidRPr="002F16F0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50"/>
        </w:tabs>
        <w:ind w:left="133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435D17BD"/>
    <w:multiLevelType w:val="multilevel"/>
    <w:tmpl w:val="8870B36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lowerLetter"/>
      <w:lvlText w:val="%4."/>
      <w:lvlJc w:val="left"/>
      <w:pPr>
        <w:ind w:left="1710" w:hanging="360"/>
      </w:p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56985D98"/>
    <w:multiLevelType w:val="multilevel"/>
    <w:tmpl w:val="E7FEA8E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lowerLetter"/>
      <w:lvlText w:val="%4."/>
      <w:lvlJc w:val="left"/>
      <w:pPr>
        <w:ind w:left="1710" w:hanging="360"/>
      </w:p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4" w15:restartNumberingAfterBreak="0">
    <w:nsid w:val="65860587"/>
    <w:multiLevelType w:val="multilevel"/>
    <w:tmpl w:val="E4D2EB5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lowerLetter"/>
      <w:lvlText w:val="%4."/>
      <w:lvlJc w:val="left"/>
      <w:pPr>
        <w:ind w:left="1710" w:hanging="360"/>
      </w:p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 w15:restartNumberingAfterBreak="0">
    <w:nsid w:val="734C6A22"/>
    <w:multiLevelType w:val="multilevel"/>
    <w:tmpl w:val="72D84784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1433090453">
    <w:abstractNumId w:val="0"/>
  </w:num>
  <w:num w:numId="2" w16cid:durableId="1191338795">
    <w:abstractNumId w:val="0"/>
  </w:num>
  <w:num w:numId="3" w16cid:durableId="911618643">
    <w:abstractNumId w:val="1"/>
  </w:num>
  <w:num w:numId="4" w16cid:durableId="1603805604">
    <w:abstractNumId w:val="2"/>
  </w:num>
  <w:num w:numId="5" w16cid:durableId="1839685053">
    <w:abstractNumId w:val="3"/>
  </w:num>
  <w:num w:numId="6" w16cid:durableId="1231422389">
    <w:abstractNumId w:val="4"/>
  </w:num>
  <w:num w:numId="7" w16cid:durableId="15138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2F16F0"/>
    <w:rsid w:val="0039585D"/>
    <w:rsid w:val="004314DE"/>
    <w:rsid w:val="00567882"/>
    <w:rsid w:val="00575B14"/>
    <w:rsid w:val="00752D37"/>
    <w:rsid w:val="007572D2"/>
    <w:rsid w:val="00786E7D"/>
    <w:rsid w:val="00897216"/>
    <w:rsid w:val="008E3DBD"/>
    <w:rsid w:val="00A94B30"/>
    <w:rsid w:val="00C01811"/>
    <w:rsid w:val="00C14C65"/>
    <w:rsid w:val="00D063AB"/>
    <w:rsid w:val="00D442A7"/>
    <w:rsid w:val="00F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14</cp:revision>
  <dcterms:created xsi:type="dcterms:W3CDTF">2021-03-31T14:00:00Z</dcterms:created>
  <dcterms:modified xsi:type="dcterms:W3CDTF">2024-02-04T17:10:00Z</dcterms:modified>
</cp:coreProperties>
</file>